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27" w:line="183" w:lineRule="auto"/>
        <w:jc w:val="right"/>
        <w:rPr>
          <w:sz w:val="14"/>
          <w:szCs w:val="14"/>
        </w:rPr>
      </w:pPr>
      <w:hyperlink w:history="true" r:id="rId1">
        <w:r>
          <w:rPr>
            <w:sz w:val="14"/>
            <w:szCs w:val="14"/>
            <w:color w:val="0B5DB1"/>
            <w:spacing w:val="-3"/>
          </w:rPr>
          <w:t>繁</w:t>
        </w:r>
      </w:hyperlink>
    </w:p>
    <w:p>
      <w:pPr>
        <w:spacing w:line="44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130635</wp:posOffset>
            </wp:positionV>
            <wp:extent cx="6350" cy="355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237.704pt;margin-top:18.5983pt;mso-position-vertical-relative:text;mso-position-horizontal-relative:text;width:61.8pt;height:17.7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3" w:lineRule="auto"/>
                    <w:outlineLvl w:val="0"/>
                    <w:rPr>
                      <w:sz w:val="24"/>
                      <w:szCs w:val="24"/>
                    </w:rPr>
                  </w:pPr>
                  <w:hyperlink w:history="true" r:id="rId3">
                    <w:r>
                      <w:rPr>
                        <w:sz w:val="24"/>
                        <w:szCs w:val="24"/>
                        <w:b/>
                        <w:bCs/>
                        <w:color w:val="333333"/>
                        <w:spacing w:val="-1"/>
                      </w:rPr>
                      <w:t>安徽监管局</w:t>
                    </w:r>
                  </w:hyperlink>
                </w:p>
              </w:txbxContent>
            </v:textbox>
          </v:shape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104759</wp:posOffset>
            </wp:positionV>
            <wp:extent cx="2762250" cy="426402"/>
            <wp:effectExtent l="0" t="0" r="0" b="0"/>
            <wp:wrapNone/>
            <wp:docPr id="4" name="IM 4">
              <a:hlinkClick xmlns:a="http://schemas.openxmlformats.org/drawingml/2006/main" r:id="rId5"/>
            </wp:docPr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2250" cy="426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firstLine="8850"/>
        <w:spacing w:before="1" w:line="350" w:lineRule="exact"/>
        <w:rPr/>
      </w:pPr>
      <w:r>
        <w:rPr>
          <w:position w:val="-7"/>
        </w:rPr>
        <w:pict>
          <v:group id="_x0000_s4" style="mso-position-vertical-relative:line;mso-position-horizontal-relative:char;width:96.1pt;height:17.5pt;" filled="false" stroked="false" coordsize="1921,350" coordorigin="0,0">
            <v:shape id="_x0000_s6" style="position:absolute;left:0;top:0;width:1921;height:350;" filled="false" stroked="false" type="#_x0000_t75">
              <v:imagedata o:title="" r:id="rId6"/>
            </v:shape>
            <v:shape id="_x0000_s8" style="position:absolute;left:-20;top:-20;width:1961;height:39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2"/>
                      <w:spacing w:before="126" w:line="187" w:lineRule="auto"/>
                      <w:rPr>
                        <w:rFonts w:ascii="Microsoft YaHei" w:hAnsi="Microsoft YaHei" w:eastAsia="Microsoft YaHei" w:cs="Microsoft YaHei"/>
                        <w:sz w:val="13"/>
                        <w:szCs w:val="13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13"/>
                        <w:szCs w:val="13"/>
                        <w:color w:val="202020"/>
                        <w:spacing w:val="2"/>
                      </w:rPr>
                      <w:t>请输入关键字</w:t>
                    </w:r>
                  </w:p>
                </w:txbxContent>
              </v:textbox>
            </v:shape>
          </v:group>
        </w:pict>
      </w:r>
    </w:p>
    <w:p>
      <w:pPr>
        <w:spacing w:before="188"/>
        <w:rPr/>
      </w:pPr>
      <w:r/>
    </w:p>
    <w:tbl>
      <w:tblPr>
        <w:tblStyle w:val="TableNormal"/>
        <w:tblW w:w="10766" w:type="dxa"/>
        <w:tblInd w:w="5" w:type="dxa"/>
        <w:tblLayout w:type="fixed"/>
        <w:tblBorders>
          <w:left w:val="single" w:color="DBDBDB" w:sz="4" w:space="0"/>
          <w:bottom w:val="single" w:color="0B5DB1" w:sz="20" w:space="0"/>
          <w:top w:val="single" w:color="DBDBDB" w:sz="4" w:space="0"/>
        </w:tblBorders>
      </w:tblPr>
      <w:tblGrid>
        <w:gridCol w:w="10766"/>
      </w:tblGrid>
      <w:tr>
        <w:trPr>
          <w:trHeight w:val="500" w:hRule="atLeast"/>
        </w:trPr>
        <w:tc>
          <w:tcPr>
            <w:tcW w:w="10766" w:type="dxa"/>
            <w:vAlign w:val="top"/>
          </w:tcPr>
          <w:p>
            <w:pPr>
              <w:ind w:left="581"/>
              <w:spacing w:line="490" w:lineRule="exact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hyperlink w:history="true" r:id="rId3">
              <w:r>
                <w:rPr>
                  <w:rFonts w:ascii="Microsoft YaHei" w:hAnsi="Microsoft YaHei" w:eastAsia="Microsoft YaHei" w:cs="Microsoft YaHei"/>
                  <w:sz w:val="16"/>
                  <w:szCs w:val="16"/>
                  <w:color w:val="333333"/>
                  <w:spacing w:val="1"/>
                  <w:position w:val="9"/>
                </w:rPr>
                <w:t>首页</w:t>
              </w:r>
            </w:hyperlink>
            <w:r>
              <w:rPr>
                <w:rFonts w:ascii="Microsoft YaHei" w:hAnsi="Microsoft YaHei" w:eastAsia="Microsoft YaHei" w:cs="Microsoft YaHei"/>
                <w:sz w:val="16"/>
                <w:szCs w:val="16"/>
                <w:color w:val="333333"/>
                <w:spacing w:val="1"/>
                <w:position w:val="9"/>
              </w:rPr>
              <w:t xml:space="preserve">                   </w:t>
            </w:r>
            <w:hyperlink w:history="true" r:id="rId7">
              <w:r>
                <w:rPr>
                  <w:rFonts w:ascii="Microsoft YaHei" w:hAnsi="Microsoft YaHei" w:eastAsia="Microsoft YaHei" w:cs="Microsoft YaHei"/>
                  <w:sz w:val="16"/>
                  <w:szCs w:val="16"/>
                  <w:color w:val="333333"/>
                  <w:spacing w:val="1"/>
                  <w:position w:val="9"/>
                </w:rPr>
                <w:t>证监局介绍</w:t>
              </w:r>
            </w:hyperlink>
            <w:r>
              <w:rPr>
                <w:rFonts w:ascii="Microsoft YaHei" w:hAnsi="Microsoft YaHei" w:eastAsia="Microsoft YaHei" w:cs="Microsoft YaHei"/>
                <w:sz w:val="16"/>
                <w:szCs w:val="16"/>
                <w:color w:val="333333"/>
                <w:spacing w:val="1"/>
                <w:position w:val="9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color w:val="333333"/>
                <w:position w:val="9"/>
              </w:rPr>
              <w:t xml:space="preserve">        </w:t>
            </w:r>
            <w:hyperlink w:history="true" r:id="rId8">
              <w:r>
                <w:rPr>
                  <w:rFonts w:ascii="Microsoft YaHei" w:hAnsi="Microsoft YaHei" w:eastAsia="Microsoft YaHei" w:cs="Microsoft YaHei"/>
                  <w:sz w:val="16"/>
                  <w:szCs w:val="16"/>
                  <w:color w:val="333333"/>
                  <w:position w:val="9"/>
                </w:rPr>
                <w:t>辖区监管动态</w:t>
              </w:r>
            </w:hyperlink>
            <w:r>
              <w:rPr>
                <w:rFonts w:ascii="Microsoft YaHei" w:hAnsi="Microsoft YaHei" w:eastAsia="Microsoft YaHei" w:cs="Microsoft YaHei"/>
                <w:sz w:val="16"/>
                <w:szCs w:val="16"/>
                <w:color w:val="333333"/>
                <w:position w:val="9"/>
              </w:rPr>
              <w:t xml:space="preserve">              </w:t>
            </w:r>
            <w:hyperlink w:history="true" r:id="rId9">
              <w:r>
                <w:rPr>
                  <w:rFonts w:ascii="Microsoft YaHei" w:hAnsi="Microsoft YaHei" w:eastAsia="Microsoft YaHei" w:cs="Microsoft YaHei"/>
                  <w:sz w:val="16"/>
                  <w:szCs w:val="16"/>
                  <w:color w:val="333333"/>
                  <w:position w:val="9"/>
                </w:rPr>
                <w:t>政务信息</w:t>
              </w:r>
            </w:hyperlink>
            <w:r>
              <w:rPr>
                <w:rFonts w:ascii="Microsoft YaHei" w:hAnsi="Microsoft YaHei" w:eastAsia="Microsoft YaHei" w:cs="Microsoft YaHei"/>
                <w:sz w:val="16"/>
                <w:szCs w:val="16"/>
                <w:color w:val="333333"/>
                <w:position w:val="9"/>
              </w:rPr>
              <w:t xml:space="preserve">                 </w:t>
            </w:r>
            <w:hyperlink w:history="true" r:id="rId10">
              <w:r>
                <w:rPr>
                  <w:rFonts w:ascii="Microsoft YaHei" w:hAnsi="Microsoft YaHei" w:eastAsia="Microsoft YaHei" w:cs="Microsoft YaHei"/>
                  <w:sz w:val="16"/>
                  <w:szCs w:val="16"/>
                  <w:color w:val="333333"/>
                  <w:position w:val="9"/>
                </w:rPr>
                <w:t>办事服务</w:t>
              </w:r>
            </w:hyperlink>
            <w:r>
              <w:rPr>
                <w:rFonts w:ascii="Microsoft YaHei" w:hAnsi="Microsoft YaHei" w:eastAsia="Microsoft YaHei" w:cs="Microsoft YaHei"/>
                <w:sz w:val="16"/>
                <w:szCs w:val="16"/>
                <w:color w:val="333333"/>
                <w:position w:val="9"/>
              </w:rPr>
              <w:t xml:space="preserve">                  </w:t>
            </w:r>
            <w:hyperlink w:history="true" r:id="rId11">
              <w:r>
                <w:rPr>
                  <w:rFonts w:ascii="Microsoft YaHei" w:hAnsi="Microsoft YaHei" w:eastAsia="Microsoft YaHei" w:cs="Microsoft YaHei"/>
                  <w:sz w:val="16"/>
                  <w:szCs w:val="16"/>
                  <w:color w:val="333333"/>
                  <w:position w:val="9"/>
                </w:rPr>
                <w:t>辖区数据</w:t>
              </w:r>
            </w:hyperlink>
            <w:r>
              <w:rPr>
                <w:rFonts w:ascii="Microsoft YaHei" w:hAnsi="Microsoft YaHei" w:eastAsia="Microsoft YaHei" w:cs="Microsoft YaHei"/>
                <w:sz w:val="16"/>
                <w:szCs w:val="16"/>
                <w:color w:val="333333"/>
                <w:position w:val="9"/>
              </w:rPr>
              <w:t xml:space="preserve">                  </w:t>
            </w:r>
            <w:hyperlink w:history="true" r:id="rId12">
              <w:r>
                <w:rPr>
                  <w:rFonts w:ascii="Microsoft YaHei" w:hAnsi="Microsoft YaHei" w:eastAsia="Microsoft YaHei" w:cs="Microsoft YaHei"/>
                  <w:sz w:val="16"/>
                  <w:szCs w:val="16"/>
                  <w:color w:val="333333"/>
                  <w:position w:val="9"/>
                </w:rPr>
                <w:t>互动交流</w:t>
              </w:r>
            </w:hyperlink>
          </w:p>
        </w:tc>
      </w:tr>
    </w:tbl>
    <w:p>
      <w:pPr>
        <w:pStyle w:val="BodyText"/>
        <w:spacing w:before="149" w:line="235" w:lineRule="auto"/>
        <w:rPr>
          <w:sz w:val="14"/>
          <w:szCs w:val="14"/>
        </w:rPr>
      </w:pPr>
      <w:r>
        <w:rPr>
          <w:sz w:val="14"/>
          <w:szCs w:val="14"/>
          <w:color w:val="333333"/>
          <w:position w:val="-1"/>
        </w:rPr>
        <w:drawing>
          <wp:inline distT="0" distB="0" distL="0" distR="0">
            <wp:extent cx="88900" cy="101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color w:val="333333"/>
          <w:spacing w:val="31"/>
          <w:w w:val="102"/>
        </w:rPr>
        <w:t xml:space="preserve"> </w:t>
      </w:r>
      <w:r>
        <w:rPr>
          <w:sz w:val="14"/>
          <w:szCs w:val="14"/>
          <w:color w:val="333333"/>
          <w:spacing w:val="-3"/>
        </w:rPr>
        <w:t>当前位置：</w:t>
      </w:r>
      <w:hyperlink w:history="true" r:id="rId3">
        <w:r>
          <w:rPr>
            <w:sz w:val="14"/>
            <w:szCs w:val="14"/>
            <w:color w:val="333333"/>
            <w:spacing w:val="-3"/>
          </w:rPr>
          <w:t>首页</w:t>
        </w:r>
      </w:hyperlink>
      <w:r>
        <w:rPr>
          <w:sz w:val="14"/>
          <w:szCs w:val="14"/>
          <w:color w:val="333333"/>
          <w:spacing w:val="20"/>
        </w:rPr>
        <w:t xml:space="preserve"> </w:t>
      </w:r>
      <w:r>
        <w:rPr>
          <w:sz w:val="14"/>
          <w:szCs w:val="14"/>
          <w:color w:val="333333"/>
          <w:spacing w:val="-3"/>
        </w:rPr>
        <w:t>&gt; </w:t>
      </w:r>
      <w:hyperlink w:history="true" r:id="rId14">
        <w:r>
          <w:rPr>
            <w:sz w:val="14"/>
            <w:szCs w:val="14"/>
            <w:color w:val="333333"/>
            <w:spacing w:val="-3"/>
          </w:rPr>
          <w:t>专题专栏</w:t>
        </w:r>
      </w:hyperlink>
      <w:r>
        <w:rPr>
          <w:sz w:val="14"/>
          <w:szCs w:val="14"/>
          <w:color w:val="333333"/>
          <w:spacing w:val="19"/>
          <w:w w:val="102"/>
        </w:rPr>
        <w:t xml:space="preserve"> </w:t>
      </w:r>
      <w:r>
        <w:rPr>
          <w:sz w:val="14"/>
          <w:szCs w:val="14"/>
          <w:color w:val="333333"/>
          <w:spacing w:val="-3"/>
        </w:rPr>
        <w:t>&gt; </w:t>
      </w:r>
      <w:hyperlink w:history="true" r:id="rId15">
        <w:r>
          <w:rPr>
            <w:sz w:val="14"/>
            <w:szCs w:val="14"/>
            <w:color w:val="333333"/>
            <w:spacing w:val="-3"/>
          </w:rPr>
          <w:t>投资者保护</w:t>
        </w:r>
      </w:hyperlink>
      <w:r>
        <w:rPr>
          <w:sz w:val="14"/>
          <w:szCs w:val="14"/>
          <w:color w:val="333333"/>
          <w:spacing w:val="20"/>
        </w:rPr>
        <w:t xml:space="preserve"> </w:t>
      </w:r>
      <w:r>
        <w:rPr>
          <w:sz w:val="14"/>
          <w:szCs w:val="14"/>
          <w:color w:val="333333"/>
          <w:spacing w:val="-3"/>
        </w:rPr>
        <w:t>&gt; </w:t>
      </w:r>
      <w:hyperlink w:history="true" r:id="rId16">
        <w:r>
          <w:rPr>
            <w:sz w:val="14"/>
            <w:szCs w:val="14"/>
            <w:color w:val="333333"/>
            <w:spacing w:val="-3"/>
          </w:rPr>
          <w:t>投资知识园地</w:t>
        </w:r>
      </w:hyperlink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260"/>
        <w:spacing w:before="90" w:line="189" w:lineRule="auto"/>
        <w:outlineLvl w:val="0"/>
        <w:rPr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color w:val="333333"/>
          <w:spacing w:val="1"/>
        </w:rPr>
        <w:t>12386</w:t>
      </w:r>
      <w:r>
        <w:rPr>
          <w:sz w:val="21"/>
          <w:szCs w:val="21"/>
          <w:color w:val="333333"/>
          <w:spacing w:val="1"/>
        </w:rPr>
        <w:t>服务平台投诉指南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760"/>
        <w:spacing w:before="60" w:line="225" w:lineRule="auto"/>
        <w:rPr>
          <w:sz w:val="14"/>
          <w:szCs w:val="14"/>
        </w:rPr>
      </w:pPr>
      <w:r>
        <w:rPr>
          <w:sz w:val="14"/>
          <w:szCs w:val="14"/>
          <w:color w:val="454545"/>
        </w:rPr>
        <w:t>日期：2026-05-15     来源：安徽证监局                                           </w:t>
      </w:r>
      <w:r>
        <w:rPr>
          <w:sz w:val="14"/>
          <w:szCs w:val="14"/>
          <w:color w:val="454545"/>
          <w:spacing w:val="-1"/>
        </w:rPr>
        <w:t xml:space="preserve">                                                  【字号：    大    </w:t>
      </w:r>
      <w:r>
        <w:rPr>
          <w:sz w:val="14"/>
          <w:szCs w:val="14"/>
          <w:color w:val="333333"/>
          <w:spacing w:val="-1"/>
        </w:rPr>
        <w:t>中   </w:t>
      </w:r>
      <w:r>
        <w:rPr>
          <w:sz w:val="14"/>
          <w:szCs w:val="14"/>
          <w:color w:val="454545"/>
          <w:spacing w:val="-1"/>
        </w:rPr>
        <w:t>小】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740"/>
        <w:spacing w:before="1" w:line="80" w:lineRule="exact"/>
        <w:rPr/>
      </w:pPr>
      <w:r>
        <w:rPr>
          <w:position w:val="-1"/>
        </w:rPr>
        <w:drawing>
          <wp:inline distT="0" distB="0" distL="0" distR="0">
            <wp:extent cx="5905500" cy="508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5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740" w:right="811" w:firstLine="335"/>
        <w:spacing w:before="69" w:line="333" w:lineRule="auto"/>
        <w:rPr/>
      </w:pPr>
      <w:r>
        <w:rPr>
          <w:color w:val="333333"/>
        </w:rPr>
        <w:t>12386服务平台（以下简称“平台”）是中国证监会设立的投资者服务公益平台，提供</w:t>
      </w:r>
      <w:r>
        <w:rPr>
          <w:color w:val="333333"/>
          <w:spacing w:val="-1"/>
        </w:rPr>
        <w:t>投资者诉求的接收和分转服务，依据投资</w:t>
      </w:r>
      <w:r>
        <w:rPr>
          <w:color w:val="333333"/>
          <w:spacing w:val="-1"/>
        </w:rPr>
        <w:t>者选择的诉求类别进行处理。</w:t>
      </w:r>
    </w:p>
    <w:p>
      <w:pPr>
        <w:pStyle w:val="BodyText"/>
        <w:ind w:left="1061"/>
        <w:spacing w:before="227" w:line="183" w:lineRule="auto"/>
        <w:rPr/>
      </w:pPr>
      <w:r>
        <w:rPr>
          <w:color w:val="333333"/>
          <w:spacing w:val="-1"/>
        </w:rPr>
        <w:t>如您的诉求属于投诉事项范围，请按照本指南提出您的</w:t>
      </w:r>
      <w:r>
        <w:rPr>
          <w:color w:val="333333"/>
          <w:spacing w:val="-2"/>
        </w:rPr>
        <w:t>诉求。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062"/>
        <w:spacing w:before="69" w:line="183" w:lineRule="auto"/>
        <w:rPr/>
      </w:pPr>
      <w:r>
        <w:rPr>
          <w:color w:val="333333"/>
          <w:spacing w:val="-1"/>
        </w:rPr>
        <w:t>一、明确诉求类型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741" w:right="800" w:firstLine="320"/>
        <w:spacing w:before="69" w:line="345" w:lineRule="auto"/>
        <w:jc w:val="both"/>
        <w:rPr/>
      </w:pPr>
      <w:r>
        <w:rPr>
          <w:color w:val="333333"/>
        </w:rPr>
        <w:t>根据《中国证监会关于12386服务平台优化运行有关事项的公告》（证监会公告〔2022〕45号），您在买卖证券、</w:t>
      </w:r>
      <w:r>
        <w:rPr>
          <w:color w:val="333333"/>
          <w:spacing w:val="-1"/>
        </w:rPr>
        <w:t>基金、期货</w:t>
      </w:r>
      <w:r>
        <w:rPr>
          <w:color w:val="333333"/>
        </w:rPr>
        <w:t>产品或接受相关服务时，和证券基金期货经营机构、从业人员发生民事纠纷（如客户服务问题、收费争议、系统问题、虚假</w:t>
      </w:r>
      <w:r>
        <w:rPr>
          <w:color w:val="333333"/>
          <w:spacing w:val="-1"/>
        </w:rPr>
        <w:t>或夸大宣</w:t>
      </w:r>
      <w:r>
        <w:rPr>
          <w:color w:val="333333"/>
        </w:rPr>
        <w:t>传、沟通不畅等），希望经营机构解决您的问题、满足</w:t>
      </w:r>
      <w:r>
        <w:rPr>
          <w:color w:val="333333"/>
          <w:spacing w:val="-1"/>
        </w:rPr>
        <w:t>您的诉求，可以选择投诉类别进行反映，平台帮您转交对方协商解决。</w:t>
      </w:r>
    </w:p>
    <w:p>
      <w:pPr>
        <w:pStyle w:val="BodyText"/>
        <w:ind w:left="1061"/>
        <w:spacing w:before="195" w:line="183" w:lineRule="auto"/>
        <w:rPr/>
      </w:pPr>
      <w:r>
        <w:rPr>
          <w:color w:val="333333"/>
          <w:spacing w:val="-2"/>
        </w:rPr>
        <w:t>您也可直接与相关证券基金期货经营机构联系协商。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064"/>
        <w:spacing w:before="69" w:line="184" w:lineRule="auto"/>
        <w:rPr/>
      </w:pPr>
      <w:r>
        <w:rPr>
          <w:color w:val="333333"/>
          <w:spacing w:val="-1"/>
        </w:rPr>
        <w:t>二、需要准备的材料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084"/>
        <w:spacing w:before="69" w:line="221" w:lineRule="auto"/>
        <w:rPr/>
      </w:pPr>
      <w:r>
        <w:rPr>
          <w:color w:val="333333"/>
          <w:spacing w:val="-3"/>
        </w:rPr>
        <w:t>（一）投资者基本情况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076"/>
        <w:spacing w:before="68" w:line="225" w:lineRule="auto"/>
        <w:rPr/>
      </w:pPr>
      <w:r>
        <w:rPr>
          <w:color w:val="333333"/>
          <w:spacing w:val="-2"/>
        </w:rPr>
        <w:t>1.投资者为自然人的，应提供姓名、有效身份证件信息、联系方式等。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42" w:right="828" w:firstLine="326"/>
        <w:spacing w:before="70" w:line="341" w:lineRule="auto"/>
        <w:rPr/>
      </w:pPr>
      <w:r>
        <w:rPr>
          <w:color w:val="333333"/>
        </w:rPr>
        <w:t>2.投资者为法人或非法人组织的，应提供名称、住所、统一社会信用代码，代理人的姓名、有效身份证</w:t>
      </w:r>
      <w:r>
        <w:rPr>
          <w:color w:val="333333"/>
          <w:spacing w:val="-1"/>
        </w:rPr>
        <w:t>件信息、联系方式、授权</w:t>
      </w:r>
      <w:r>
        <w:rPr>
          <w:color w:val="333333"/>
          <w:spacing w:val="-6"/>
        </w:rPr>
        <w:t>委托书等。</w:t>
      </w:r>
    </w:p>
    <w:p>
      <w:pPr>
        <w:pStyle w:val="BodyText"/>
        <w:ind w:left="1061"/>
        <w:spacing w:before="219" w:line="184" w:lineRule="auto"/>
        <w:rPr/>
      </w:pPr>
      <w:r>
        <w:rPr>
          <w:color w:val="333333"/>
          <w:spacing w:val="-6"/>
        </w:rPr>
        <w:t>注意事项：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742" w:right="833" w:firstLine="324"/>
        <w:spacing w:before="69" w:line="352" w:lineRule="auto"/>
        <w:rPr/>
      </w:pPr>
      <w:r>
        <w:rPr>
          <w:color w:val="333333"/>
        </w:rPr>
        <w:t>a.投诉应当由投资者本人提出，确有困难的可以委托他人代为提出。委托他人代为投诉的，除提供前款规定</w:t>
      </w:r>
      <w:r>
        <w:rPr>
          <w:color w:val="333333"/>
          <w:spacing w:val="-1"/>
        </w:rPr>
        <w:t>的材料外，还应提供</w:t>
      </w:r>
      <w:r>
        <w:rPr>
          <w:color w:val="333333"/>
          <w:spacing w:val="-1"/>
        </w:rPr>
        <w:t>受托人姓名、有效身份证件信息、联系方式、</w:t>
      </w:r>
      <w:r>
        <w:rPr>
          <w:color w:val="333333"/>
          <w:spacing w:val="-2"/>
        </w:rPr>
        <w:t>授权委托书等。</w:t>
      </w:r>
    </w:p>
    <w:p>
      <w:pPr>
        <w:pStyle w:val="BodyText"/>
        <w:ind w:left="742" w:right="933" w:firstLine="330"/>
        <w:spacing w:before="137" w:line="333" w:lineRule="auto"/>
        <w:rPr/>
      </w:pPr>
      <w:r>
        <w:rPr>
          <w:color w:val="333333"/>
        </w:rPr>
        <w:t>b.授权委托书应当明确受托人的代理权限范围，如授权受托人全权处理本人与XX机构的投诉</w:t>
      </w:r>
      <w:r>
        <w:rPr>
          <w:color w:val="333333"/>
          <w:spacing w:val="-1"/>
        </w:rPr>
        <w:t>事项，或仅授权受托人代为提出投</w:t>
      </w:r>
      <w:r>
        <w:rPr>
          <w:color w:val="333333"/>
          <w:spacing w:val="-2"/>
        </w:rPr>
        <w:t>诉，但是否同意和解、调解等仍由本人决定。</w:t>
      </w:r>
    </w:p>
    <w:p>
      <w:pPr>
        <w:pStyle w:val="BodyText"/>
        <w:ind w:left="1084"/>
        <w:spacing w:before="238" w:line="183" w:lineRule="auto"/>
        <w:rPr/>
      </w:pPr>
      <w:r>
        <w:rPr>
          <w:color w:val="333333"/>
          <w:spacing w:val="-3"/>
        </w:rPr>
        <w:t>（二）投诉对象基本情况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741" w:right="800" w:firstLine="330"/>
        <w:spacing w:before="69" w:line="343" w:lineRule="auto"/>
        <w:rPr/>
      </w:pPr>
      <w:r>
        <w:rPr>
          <w:color w:val="333333"/>
        </w:rPr>
        <w:t>明确的投诉对象及其基本情况，包括被投诉的经营机构名称及其所在地区；被投诉的证券基金期货</w:t>
      </w:r>
      <w:r>
        <w:rPr>
          <w:color w:val="333333"/>
          <w:spacing w:val="-1"/>
        </w:rPr>
        <w:t>从业人员的相关情况以及其所</w:t>
      </w:r>
      <w:r>
        <w:rPr>
          <w:color w:val="333333"/>
          <w:spacing w:val="-4"/>
        </w:rPr>
        <w:t>属经营机构名称。</w:t>
      </w:r>
    </w:p>
    <w:p>
      <w:pPr>
        <w:spacing w:line="343" w:lineRule="auto"/>
        <w:sectPr>
          <w:headerReference w:type="default" r:id="rId32"/>
          <w:pgSz w:w="11900" w:h="16839"/>
          <w:pgMar w:top="623" w:right="508" w:bottom="0" w:left="570" w:header="851" w:footer="0" w:gutter="0"/>
        </w:sectPr>
        <w:rPr/>
      </w:pPr>
    </w:p>
    <w:p>
      <w:pPr>
        <w:pStyle w:val="BodyText"/>
        <w:ind w:left="343"/>
        <w:spacing w:before="32" w:line="184" w:lineRule="auto"/>
        <w:rPr/>
      </w:pPr>
      <w:r>
        <w:rPr>
          <w:color w:val="333333"/>
          <w:spacing w:val="-1"/>
        </w:rPr>
        <w:t>（三）具体、详细、客观的投诉事实、理由和投诉</w:t>
      </w:r>
      <w:r>
        <w:rPr>
          <w:color w:val="333333"/>
          <w:spacing w:val="-2"/>
        </w:rPr>
        <w:t>请求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" w:firstLine="319"/>
        <w:spacing w:before="69" w:line="349" w:lineRule="auto"/>
        <w:rPr/>
      </w:pPr>
      <w:r>
        <w:rPr>
          <w:color w:val="333333"/>
        </w:rPr>
        <w:t>投资者应详实说明涉事行为时间、具体情形等，客观阐述投诉理由，提供相关证明材料（交易对账单、合同协议、聊天</w:t>
      </w:r>
      <w:r>
        <w:rPr>
          <w:color w:val="333333"/>
          <w:spacing w:val="-1"/>
        </w:rPr>
        <w:t>记录、录</w:t>
      </w:r>
      <w:r>
        <w:rPr>
          <w:color w:val="333333"/>
        </w:rPr>
        <w:t>音录像、宣传材料、沟通凭证等</w:t>
      </w:r>
      <w:r>
        <w:rPr>
          <w:color w:val="333333"/>
          <w:spacing w:val="-1"/>
        </w:rPr>
        <w:t>），</w:t>
      </w:r>
      <w:r>
        <w:rPr>
          <w:color w:val="333333"/>
        </w:rPr>
        <w:t>明确想解决的具</w:t>
      </w:r>
      <w:r>
        <w:rPr>
          <w:color w:val="333333"/>
          <w:spacing w:val="-1"/>
        </w:rPr>
        <w:t>体问题，避免模糊表述。您可参考以下简易表述模板，帮助您快速梳理：</w:t>
      </w:r>
    </w:p>
    <w:p>
      <w:pPr>
        <w:pStyle w:val="BodyText"/>
        <w:ind w:right="1048" w:firstLine="339"/>
        <w:spacing w:before="143" w:line="337" w:lineRule="auto"/>
        <w:rPr/>
      </w:pPr>
      <w:r>
        <w:rPr>
          <w:color w:val="333333"/>
        </w:rPr>
        <w:t>“我于X年X月X日在X经营机构X营业部，购买/交易X产品，因X原</w:t>
      </w:r>
      <w:r>
        <w:rPr>
          <w:color w:val="333333"/>
          <w:spacing w:val="-1"/>
        </w:rPr>
        <w:t>因发生纠纷，现要求X（履行合同义务/更正/退</w:t>
      </w:r>
      <w:r>
        <w:rPr>
          <w:color w:val="333333"/>
          <w:spacing w:val="22"/>
        </w:rPr>
        <w:t>赔</w:t>
      </w:r>
      <w:r>
        <w:rPr>
          <w:color w:val="333333"/>
          <w:spacing w:val="-5"/>
        </w:rPr>
        <w:t>．．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5"/>
        </w:rPr>
        <w:t>．）</w:t>
      </w:r>
      <w:r>
        <w:rPr>
          <w:color w:val="333333"/>
          <w:spacing w:val="22"/>
        </w:rPr>
        <w:t>。”</w:t>
      </w:r>
    </w:p>
    <w:p>
      <w:pPr>
        <w:pStyle w:val="BodyText"/>
        <w:ind w:left="323"/>
        <w:spacing w:before="227" w:line="184" w:lineRule="auto"/>
        <w:rPr/>
      </w:pPr>
      <w:r>
        <w:rPr>
          <w:color w:val="333333"/>
          <w:spacing w:val="-1"/>
        </w:rPr>
        <w:t>三、向12386平台投诉的渠道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410"/>
        <w:spacing w:before="69" w:line="221" w:lineRule="auto"/>
        <w:rPr/>
      </w:pPr>
      <w:r>
        <w:rPr>
          <w:color w:val="333333"/>
          <w:spacing w:val="-1"/>
        </w:rPr>
        <w:t>(一) 热线电话，全国直拨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5" w:right="122" w:firstLine="305"/>
        <w:spacing w:before="68" w:line="350" w:lineRule="auto"/>
        <w:rPr/>
      </w:pPr>
      <w:r>
        <w:rPr>
          <w:color w:val="333333"/>
        </w:rPr>
        <w:t>您可以在全国范围内直接拨打12386热线电话，热线电话服务时间为每周一至周五（法定节假日除外）上午 9:00-11</w:t>
      </w:r>
      <w:r>
        <w:rPr>
          <w:color w:val="333333"/>
          <w:spacing w:val="-1"/>
        </w:rPr>
        <w:t>:30，下午</w:t>
      </w:r>
      <w:r>
        <w:rPr>
          <w:color w:val="333333"/>
          <w:spacing w:val="-2"/>
        </w:rPr>
        <w:t>13:00-16:30。</w:t>
      </w:r>
    </w:p>
    <w:p>
      <w:pPr>
        <w:pStyle w:val="BodyText"/>
        <w:ind w:left="343"/>
        <w:spacing w:before="197" w:line="184" w:lineRule="auto"/>
        <w:rPr/>
      </w:pPr>
      <w:r>
        <w:rPr>
          <w:color w:val="333333"/>
          <w:spacing w:val="-4"/>
        </w:rPr>
        <w:t>（二）网络平台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69" w:line="221" w:lineRule="auto"/>
        <w:jc w:val="right"/>
        <w:rPr/>
      </w:pPr>
      <w:r>
        <w:rPr>
          <w:color w:val="333333"/>
        </w:rPr>
        <w:t>12386网络平台全年无间断受理诉求反</w:t>
      </w:r>
      <w:r>
        <w:rPr>
          <w:color w:val="333333"/>
          <w:spacing w:val="-1"/>
        </w:rPr>
        <w:t>映，您可以通过12386网络平台（证监会网站—互动交流—12386服务平台）反映诉求。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33"/>
        <w:spacing w:before="70" w:line="184" w:lineRule="auto"/>
        <w:rPr/>
      </w:pPr>
      <w:r>
        <w:rPr>
          <w:color w:val="333333"/>
          <w:spacing w:val="-2"/>
        </w:rPr>
        <w:t>四、投诉处理流程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69" w:line="221" w:lineRule="auto"/>
        <w:rPr/>
      </w:pPr>
      <w:r>
        <w:rPr>
          <w:color w:val="333333"/>
          <w:spacing w:val="-2"/>
        </w:rPr>
        <w:t>(一)</w:t>
      </w:r>
      <w:r>
        <w:rPr>
          <w:color w:val="333333"/>
          <w:spacing w:val="37"/>
          <w:w w:val="101"/>
        </w:rPr>
        <w:t xml:space="preserve"> </w:t>
      </w:r>
      <w:r>
        <w:rPr>
          <w:color w:val="333333"/>
          <w:spacing w:val="-2"/>
        </w:rPr>
        <w:t>接收处理环节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20"/>
        <w:spacing w:before="69" w:line="225" w:lineRule="auto"/>
        <w:rPr/>
      </w:pPr>
      <w:r>
        <w:rPr>
          <w:color w:val="333333"/>
        </w:rPr>
        <w:t>您通过12386热线以及网络平台提交的满足接收要件的投诉，平台接收后，按投诉对象类别分转相应经营机构</w:t>
      </w:r>
      <w:r>
        <w:rPr>
          <w:color w:val="333333"/>
          <w:spacing w:val="-1"/>
        </w:rPr>
        <w:t>办理。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69" w:line="221" w:lineRule="auto"/>
        <w:rPr/>
      </w:pPr>
      <w:r>
        <w:rPr>
          <w:color w:val="333333"/>
          <w:spacing w:val="-2"/>
        </w:rPr>
        <w:t>(二)</w:t>
      </w:r>
      <w:r>
        <w:rPr>
          <w:color w:val="333333"/>
          <w:spacing w:val="34"/>
          <w:w w:val="101"/>
        </w:rPr>
        <w:t xml:space="preserve"> </w:t>
      </w:r>
      <w:r>
        <w:rPr>
          <w:color w:val="333333"/>
          <w:spacing w:val="-2"/>
        </w:rPr>
        <w:t>进度查询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21"/>
        <w:spacing w:before="70" w:line="184" w:lineRule="auto"/>
        <w:rPr/>
      </w:pPr>
      <w:r>
        <w:rPr>
          <w:color w:val="333333"/>
          <w:spacing w:val="-1"/>
        </w:rPr>
        <w:t>投资者可以通过平台（热线电话、网络平台）查询诉求处理信息，及时了解投诉处理进度。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43"/>
        <w:spacing w:before="69" w:line="221" w:lineRule="auto"/>
        <w:rPr/>
      </w:pPr>
      <w:r>
        <w:rPr>
          <w:color w:val="333333"/>
          <w:spacing w:val="-4"/>
        </w:rPr>
        <w:t>（三）结果反馈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23"/>
        <w:spacing w:before="69" w:line="184" w:lineRule="auto"/>
        <w:rPr/>
      </w:pPr>
      <w:r>
        <w:rPr>
          <w:color w:val="333333"/>
          <w:spacing w:val="-1"/>
        </w:rPr>
        <w:t>平台收到投诉办理主体录入的答复口径，通过短信（通过热线电话提交的投诉）或网络平台将办理结果反馈给投资者。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69" w:line="221" w:lineRule="auto"/>
        <w:rPr/>
      </w:pPr>
      <w:r>
        <w:rPr>
          <w:color w:val="333333"/>
          <w:spacing w:val="-2"/>
        </w:rPr>
        <w:t>(四)</w:t>
      </w:r>
      <w:r>
        <w:rPr>
          <w:color w:val="333333"/>
          <w:spacing w:val="34"/>
          <w:w w:val="101"/>
        </w:rPr>
        <w:t xml:space="preserve"> </w:t>
      </w:r>
      <w:r>
        <w:rPr>
          <w:color w:val="333333"/>
          <w:spacing w:val="-2"/>
        </w:rPr>
        <w:t>撤销投诉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firstLine="321"/>
        <w:spacing w:before="69" w:line="349" w:lineRule="auto"/>
        <w:rPr/>
      </w:pPr>
      <w:r>
        <w:rPr>
          <w:color w:val="333333"/>
        </w:rPr>
        <w:t>投资者通过平台提交投诉后，在投诉办理结束之前，可选择通过平台撤销投诉。投诉撤销后再次就同一事项提出投诉的</w:t>
      </w:r>
      <w:r>
        <w:rPr>
          <w:color w:val="333333"/>
          <w:spacing w:val="-1"/>
        </w:rPr>
        <w:t>将不被受</w:t>
      </w:r>
      <w:r>
        <w:rPr>
          <w:color w:val="333333"/>
          <w:spacing w:val="-8"/>
        </w:rPr>
        <w:t>理。</w:t>
      </w:r>
    </w:p>
    <w:p>
      <w:pPr>
        <w:pStyle w:val="BodyText"/>
        <w:ind w:left="322"/>
        <w:spacing w:before="171" w:line="184" w:lineRule="auto"/>
        <w:rPr/>
      </w:pPr>
      <w:r>
        <w:rPr>
          <w:color w:val="333333"/>
          <w:spacing w:val="-1"/>
        </w:rPr>
        <w:t>五、相关注意事项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43"/>
        <w:spacing w:before="69" w:line="221" w:lineRule="auto"/>
        <w:rPr/>
      </w:pPr>
      <w:r>
        <w:rPr>
          <w:color w:val="333333"/>
          <w:spacing w:val="-3"/>
        </w:rPr>
        <w:t>（一）守牢个人信息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35"/>
        <w:spacing w:before="69" w:line="226" w:lineRule="auto"/>
        <w:rPr/>
      </w:pPr>
      <w:r>
        <w:rPr>
          <w:color w:val="333333"/>
          <w:spacing w:val="-3"/>
        </w:rPr>
        <w:t>1.不点不明链接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firstLine="319"/>
        <w:spacing w:before="69" w:line="343" w:lineRule="auto"/>
        <w:rPr/>
      </w:pPr>
      <w:r>
        <w:rPr>
          <w:color w:val="333333"/>
        </w:rPr>
        <w:t>务必通过机构官方正式渠道下载交易软件，不点不明网址、不点击陌生链接、不扫陌生二维码、不随便填写表单，从源头防</w:t>
      </w:r>
      <w:r>
        <w:rPr>
          <w:color w:val="333333"/>
          <w:spacing w:val="-1"/>
        </w:rPr>
        <w:t>范信</w:t>
      </w:r>
      <w:r>
        <w:rPr>
          <w:color w:val="333333"/>
          <w:spacing w:val="-4"/>
        </w:rPr>
        <w:t>息泄露与诈骗风险。</w:t>
      </w:r>
    </w:p>
    <w:p>
      <w:pPr>
        <w:pStyle w:val="BodyText"/>
        <w:ind w:left="328"/>
        <w:spacing w:before="157" w:line="226" w:lineRule="auto"/>
        <w:rPr/>
      </w:pPr>
      <w:r>
        <w:rPr>
          <w:color w:val="333333"/>
          <w:spacing w:val="-2"/>
        </w:rPr>
        <w:t>2.严谨核验身份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" w:right="10" w:firstLine="319"/>
        <w:spacing w:before="69" w:line="333" w:lineRule="auto"/>
        <w:rPr/>
      </w:pPr>
      <w:r>
        <w:rPr>
          <w:color w:val="333333"/>
        </w:rPr>
        <w:t>遇到自称“监管人员”“12386工作人员”“机构人员”，您可通过中国证券业协会网站、中国期货业协会网站、中国证</w:t>
      </w:r>
      <w:r>
        <w:rPr>
          <w:color w:val="333333"/>
          <w:spacing w:val="-1"/>
        </w:rPr>
        <w:t>券投资</w:t>
      </w:r>
      <w:r>
        <w:rPr>
          <w:color w:val="333333"/>
          <w:spacing w:val="-1"/>
        </w:rPr>
        <w:t>基金业协会网站、官方公布的咨询号码等渠道核实身份。如发现不法分子假冒，尽快报警处理。</w:t>
      </w:r>
    </w:p>
    <w:p>
      <w:pPr>
        <w:spacing w:line="333" w:lineRule="auto"/>
        <w:sectPr>
          <w:pgSz w:w="11900" w:h="16839"/>
          <w:pgMar w:top="650" w:right="1309" w:bottom="0" w:left="1310" w:header="0" w:footer="0" w:gutter="0"/>
        </w:sectPr>
        <w:rPr/>
      </w:pPr>
    </w:p>
    <w:p>
      <w:pPr>
        <w:pStyle w:val="BodyText"/>
        <w:ind w:left="329"/>
        <w:spacing w:before="41" w:line="226" w:lineRule="auto"/>
        <w:rPr/>
      </w:pPr>
      <w:r>
        <w:rPr>
          <w:color w:val="333333"/>
          <w:spacing w:val="-2"/>
        </w:rPr>
        <w:t>3.保护个人隐私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19"/>
        <w:spacing w:before="69" w:line="184" w:lineRule="auto"/>
        <w:rPr/>
      </w:pPr>
      <w:r>
        <w:rPr>
          <w:color w:val="333333"/>
          <w:spacing w:val="-1"/>
        </w:rPr>
        <w:t>不向非正规渠道泄露身份证、银行卡、账户、验证码、交易流水等个人敏感信息，严防信息被非法利用。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343"/>
        <w:spacing w:before="68" w:line="183" w:lineRule="auto"/>
        <w:rPr/>
      </w:pPr>
      <w:r>
        <w:rPr>
          <w:color w:val="333333"/>
          <w:spacing w:val="-3"/>
        </w:rPr>
        <w:t>（二）如实反映情况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35"/>
        <w:spacing w:before="69" w:line="225" w:lineRule="auto"/>
        <w:rPr/>
      </w:pPr>
      <w:r>
        <w:rPr>
          <w:color w:val="333333"/>
          <w:spacing w:val="-1"/>
        </w:rPr>
        <w:t>1.如实描述事实，不夸大、不捏造，不诬告陷害有关机构或人员，对投诉内容的</w:t>
      </w:r>
      <w:r>
        <w:rPr>
          <w:color w:val="333333"/>
          <w:spacing w:val="-2"/>
        </w:rPr>
        <w:t>真实性负责。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27"/>
        <w:spacing w:before="69" w:line="225" w:lineRule="auto"/>
        <w:rPr/>
      </w:pPr>
      <w:r>
        <w:rPr>
          <w:color w:val="333333"/>
          <w:spacing w:val="-1"/>
        </w:rPr>
        <w:t>2.提供的聊天记录、合同、流水、截图等证明材料真实、完整，便于高效核查处</w:t>
      </w:r>
      <w:r>
        <w:rPr>
          <w:color w:val="333333"/>
          <w:spacing w:val="-2"/>
        </w:rPr>
        <w:t>置。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343"/>
        <w:spacing w:before="69" w:line="184" w:lineRule="auto"/>
        <w:rPr/>
      </w:pPr>
      <w:r>
        <w:rPr>
          <w:color w:val="333333"/>
          <w:spacing w:val="-2"/>
        </w:rPr>
        <w:t>（三）理性维权，不挤占公益资源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35"/>
        <w:spacing w:before="69" w:line="225" w:lineRule="auto"/>
        <w:rPr/>
      </w:pPr>
      <w:r>
        <w:rPr>
          <w:color w:val="333333"/>
          <w:spacing w:val="-1"/>
        </w:rPr>
        <w:t>12386服务平台是面向全体投资者的公益服务通道，为保障热线资源公平、高效服务每一位投资者，请您理性有序维权：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right="31" w:firstLine="334"/>
        <w:spacing w:before="69" w:line="341" w:lineRule="auto"/>
        <w:rPr/>
      </w:pPr>
      <w:r>
        <w:rPr>
          <w:color w:val="333333"/>
          <w:spacing w:val="-1"/>
        </w:rPr>
        <w:t>1.同一事项已由司法机关、仲裁机构、调解机构、其他金融管理部门、行政部门受理、办结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，或已由平台受理、办结的，请勿重</w:t>
      </w:r>
      <w:r>
        <w:rPr>
          <w:color w:val="333333"/>
          <w:spacing w:val="-2"/>
        </w:rPr>
        <w:t>复、频繁提交诉求，避免占用公共服务资源。</w:t>
      </w:r>
    </w:p>
    <w:p>
      <w:pPr>
        <w:pStyle w:val="BodyText"/>
        <w:ind w:left="1" w:firstLine="320"/>
        <w:spacing w:before="219" w:line="343" w:lineRule="auto"/>
        <w:rPr/>
      </w:pPr>
      <w:r>
        <w:rPr>
          <w:color w:val="333333"/>
        </w:rPr>
        <w:t>就已反映的投诉事由及诉求，仅仅改变要求赔偿金额后再次提出，或变更代理主体再次提出，视为同一事项。撤销投</w:t>
      </w:r>
      <w:r>
        <w:rPr>
          <w:color w:val="333333"/>
          <w:spacing w:val="-1"/>
        </w:rPr>
        <w:t>诉后，再就</w:t>
      </w:r>
      <w:r>
        <w:rPr>
          <w:color w:val="333333"/>
          <w:spacing w:val="-2"/>
        </w:rPr>
        <w:t>相同事由及诉求重复提出的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，视为同一事项。</w:t>
      </w:r>
    </w:p>
    <w:p>
      <w:pPr>
        <w:pStyle w:val="BodyText"/>
        <w:ind w:left="321"/>
        <w:spacing w:before="185" w:line="184" w:lineRule="auto"/>
        <w:rPr/>
      </w:pPr>
      <w:r>
        <w:rPr>
          <w:color w:val="333333"/>
          <w:spacing w:val="-1"/>
        </w:rPr>
        <w:t>就已反映的投诉事由及诉求，补充提供了新的有效证据，不视为同一事项，平台将再次接收转办。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27"/>
        <w:spacing w:before="69" w:line="225" w:lineRule="auto"/>
        <w:rPr/>
      </w:pPr>
      <w:r>
        <w:rPr>
          <w:color w:val="333333"/>
          <w:spacing w:val="-1"/>
        </w:rPr>
        <w:t>2.不恶意挤占平台资源、长时间占线、反复无效拨打</w:t>
      </w:r>
      <w:r>
        <w:rPr>
          <w:color w:val="333333"/>
          <w:spacing w:val="-2"/>
        </w:rPr>
        <w:t>热线或提交投诉。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right="27" w:firstLine="329"/>
        <w:spacing w:before="69" w:line="341" w:lineRule="auto"/>
        <w:rPr/>
      </w:pPr>
      <w:r>
        <w:rPr>
          <w:color w:val="333333"/>
        </w:rPr>
        <w:t>3.尊重工作人员，不进行谩骂、侮辱诽谤、恐吓威胁，不发表过激或危害公共安全的言论。涉嫌违</w:t>
      </w:r>
      <w:r>
        <w:rPr>
          <w:color w:val="333333"/>
          <w:spacing w:val="-1"/>
        </w:rPr>
        <w:t>反《中华人民共和国治安管理</w:t>
      </w:r>
      <w:r>
        <w:rPr>
          <w:color w:val="333333"/>
          <w:spacing w:val="-1"/>
        </w:rPr>
        <w:t>处罚法》的，将被固定相关证据，依法移送公</w:t>
      </w:r>
      <w:r>
        <w:rPr>
          <w:color w:val="333333"/>
          <w:spacing w:val="-2"/>
        </w:rPr>
        <w:t>安机关处理。</w:t>
      </w:r>
    </w:p>
    <w:p>
      <w:pPr>
        <w:pStyle w:val="BodyText"/>
        <w:ind w:left="343"/>
        <w:spacing w:before="219" w:line="183" w:lineRule="auto"/>
        <w:rPr/>
      </w:pPr>
      <w:r>
        <w:rPr>
          <w:color w:val="333333"/>
          <w:spacing w:val="5"/>
        </w:rPr>
        <w:t>（四）远离“非法代维”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8" w:firstLine="313"/>
        <w:spacing w:before="69" w:line="351" w:lineRule="auto"/>
        <w:rPr/>
      </w:pPr>
      <w:r>
        <w:rPr>
          <w:color w:val="333333"/>
        </w:rPr>
        <w:t>警惕社交平台、视频号上以“代理维权”“代办投诉”等为噱头招揽业务的相关主体，切勿向其提供个人信息、交易</w:t>
      </w:r>
      <w:r>
        <w:rPr>
          <w:color w:val="333333"/>
          <w:spacing w:val="-1"/>
        </w:rPr>
        <w:t>信息，避免</w:t>
      </w:r>
      <w:r>
        <w:rPr>
          <w:color w:val="333333"/>
          <w:spacing w:val="-3"/>
        </w:rPr>
        <w:t>陷入非法代维陷阱，造成信息泄露。</w:t>
      </w:r>
    </w:p>
    <w:p>
      <w:pPr>
        <w:pStyle w:val="BodyText"/>
        <w:ind w:firstLine="320"/>
        <w:spacing w:before="166" w:line="342" w:lineRule="auto"/>
        <w:rPr/>
      </w:pPr>
      <w:r>
        <w:rPr>
          <w:color w:val="333333"/>
        </w:rPr>
        <w:t>切勿轻信“投顾退费”“快速退费”“全额挽回损失”等虚假宣传，警惕被收取高额费用、截留依法维权应得甚至遭遇</w:t>
      </w:r>
      <w:r>
        <w:rPr>
          <w:color w:val="333333"/>
          <w:spacing w:val="-1"/>
        </w:rPr>
        <w:t>欺诈，给</w:t>
      </w:r>
      <w:r>
        <w:rPr>
          <w:color w:val="333333"/>
          <w:spacing w:val="-3"/>
        </w:rPr>
        <w:t>您造成不可逆的财产损失。</w:t>
      </w:r>
    </w:p>
    <w:p>
      <w:pPr>
        <w:pStyle w:val="BodyText"/>
        <w:ind w:left="2" w:firstLine="319"/>
        <w:spacing w:before="187" w:line="343" w:lineRule="auto"/>
        <w:rPr/>
      </w:pPr>
      <w:r>
        <w:rPr>
          <w:color w:val="333333"/>
        </w:rPr>
        <w:t>切勿委托任何非正规第三方机构代理所谓“退费、维权”业务，警惕向任何机构或个人签署、出具全权授权委托书，切</w:t>
      </w:r>
      <w:r>
        <w:rPr>
          <w:color w:val="333333"/>
          <w:spacing w:val="-1"/>
        </w:rPr>
        <w:t>实防范自</w:t>
      </w:r>
      <w:r>
        <w:rPr>
          <w:color w:val="333333"/>
          <w:spacing w:val="-4"/>
        </w:rPr>
        <w:t>身权益遭受二次损害。</w:t>
      </w:r>
    </w:p>
    <w:p>
      <w:pPr>
        <w:pStyle w:val="BodyText"/>
        <w:ind w:left="343"/>
        <w:spacing w:before="177" w:line="183" w:lineRule="auto"/>
        <w:rPr/>
      </w:pPr>
      <w:r>
        <w:rPr>
          <w:color w:val="333333"/>
          <w:spacing w:val="-3"/>
        </w:rPr>
        <w:t>（五）主动配合处理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320"/>
        <w:spacing w:before="69" w:line="183" w:lineRule="auto"/>
        <w:rPr/>
      </w:pPr>
      <w:r>
        <w:rPr>
          <w:color w:val="333333"/>
        </w:rPr>
        <w:t>在投诉处理过程中，请您配合经营机构，及</w:t>
      </w:r>
      <w:r>
        <w:rPr>
          <w:color w:val="333333"/>
          <w:spacing w:val="-1"/>
        </w:rPr>
        <w:t>时提供所需材料，说明情况，积极商议，共同推进投诉事项得以妥善解决。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43"/>
        <w:spacing w:before="68" w:line="183" w:lineRule="auto"/>
        <w:rPr/>
      </w:pPr>
      <w:r>
        <w:rPr>
          <w:color w:val="333333"/>
          <w:spacing w:val="-3"/>
        </w:rPr>
        <w:t>（六）充分了解维权渠道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right="10" w:firstLine="331"/>
        <w:spacing w:before="69" w:line="341" w:lineRule="auto"/>
        <w:rPr/>
      </w:pPr>
      <w:r>
        <w:rPr>
          <w:color w:val="333333"/>
        </w:rPr>
        <w:t>向12386服务平台投诉，与经营机构协商不成，或协商达成但未实际履行的，仍可通过调解、</w:t>
      </w:r>
      <w:r>
        <w:rPr>
          <w:color w:val="333333"/>
          <w:spacing w:val="-1"/>
        </w:rPr>
        <w:t>仲裁、诉讼等途径继续维护自身合</w:t>
      </w:r>
      <w:r>
        <w:rPr>
          <w:color w:val="333333"/>
          <w:spacing w:val="-7"/>
        </w:rPr>
        <w:t>法权益。</w:t>
      </w:r>
    </w:p>
    <w:p>
      <w:pPr>
        <w:pStyle w:val="BodyText"/>
        <w:ind w:left="23" w:right="1280" w:firstLine="298"/>
        <w:spacing w:before="220" w:line="344" w:lineRule="auto"/>
        <w:rPr/>
      </w:pPr>
      <w:r>
        <w:rPr>
          <w:color w:val="333333"/>
        </w:rPr>
        <w:t>需要寻求调解支持的，可以通过微信小程序“中证法律服务中心在线调解平台”申请，也可登录中</w:t>
      </w:r>
      <w:r>
        <w:rPr>
          <w:color w:val="333333"/>
          <w:spacing w:val="-1"/>
        </w:rPr>
        <w:t>国投资者网</w:t>
      </w:r>
      <w:r>
        <w:rPr>
          <w:color w:val="333333"/>
          <w:spacing w:val="-2"/>
        </w:rPr>
        <w:t>（</w:t>
      </w:r>
      <w:hyperlink w:history="true" r:id="rId18">
        <w:r>
          <w:rPr>
            <w:color w:val="333333"/>
            <w:spacing w:val="-2"/>
          </w:rPr>
          <w:t>www.investor.org.cn</w:t>
        </w:r>
      </w:hyperlink>
      <w:r>
        <w:rPr>
          <w:color w:val="333333"/>
          <w:spacing w:val="-2"/>
        </w:rPr>
        <w:t>）查找其他正</w:t>
      </w:r>
      <w:r>
        <w:rPr>
          <w:color w:val="333333"/>
          <w:spacing w:val="-3"/>
        </w:rPr>
        <w:t>规调解组织提出申请。</w:t>
      </w:r>
    </w:p>
    <w:p>
      <w:pPr>
        <w:spacing w:line="344" w:lineRule="auto"/>
        <w:sectPr>
          <w:pgSz w:w="11900" w:h="16839"/>
          <w:pgMar w:top="612" w:right="1309" w:bottom="0" w:left="1310" w:header="0" w:footer="0" w:gutter="0"/>
        </w:sectPr>
        <w:rPr/>
      </w:pPr>
    </w:p>
    <w:p>
      <w:pPr>
        <w:pStyle w:val="BodyText"/>
        <w:ind w:left="748" w:right="813" w:firstLine="313"/>
        <w:spacing w:before="282" w:line="343" w:lineRule="auto"/>
        <w:rPr/>
      </w:pPr>
      <w:r>
        <w:rPr>
          <w:color w:val="333333"/>
        </w:rPr>
        <w:t>如向中国证监会举报涉嫌证券期货违法线索，要求监管机关查处有关机构或人员、追究责任的，请按照《证券期货违法</w:t>
      </w:r>
      <w:r>
        <w:rPr>
          <w:color w:val="333333"/>
          <w:spacing w:val="-1"/>
        </w:rPr>
        <w:t>行为“吹</w:t>
      </w:r>
      <w:r>
        <w:rPr>
          <w:color w:val="333333"/>
          <w:spacing w:val="-1"/>
        </w:rPr>
        <w:t>哨人”奖励工作规定》，通过公布的网络平台、邮寄地址等渠道，</w:t>
      </w:r>
      <w:r>
        <w:rPr>
          <w:color w:val="333333"/>
          <w:spacing w:val="-2"/>
        </w:rPr>
        <w:t>提供情况。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spacing w:line="80" w:lineRule="exact"/>
        <w:rPr/>
      </w:pPr>
      <w:r>
        <w:rPr>
          <w:position w:val="-1"/>
        </w:rPr>
        <w:drawing>
          <wp:inline distT="0" distB="0" distL="0" distR="0">
            <wp:extent cx="6839842" cy="508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9842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8450"/>
        <w:spacing w:before="180" w:line="290" w:lineRule="exact"/>
        <w:rPr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438150</wp:posOffset>
            </wp:positionV>
            <wp:extent cx="6839842" cy="63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984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" style="position:absolute;margin-left:7.112pt;margin-top:11.5001pt;mso-position-vertical-relative:text;mso-position-horizontal-relative:text;width:71.5pt;height:13.2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4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color w:val="666666"/>
                      <w:spacing w:val="-2"/>
                    </w:rPr>
                    <w:t>链接： </w:t>
                  </w:r>
                  <w:hyperlink w:history="true" r:id="rId22">
                    <w:r>
                      <w:rPr>
                        <w:sz w:val="14"/>
                        <w:szCs w:val="14"/>
                        <w:position w:val="-3"/>
                      </w:rPr>
                      <w:drawing>
                        <wp:inline distT="0" distB="0" distL="0" distR="0">
                          <wp:extent cx="114300" cy="120650"/>
                          <wp:effectExtent l="0" t="0" r="0" b="0"/>
                          <wp:docPr id="14" name="IM 14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4" name="IM 14"/>
                                  <pic:cNvPicPr/>
                                </pic:nvPicPr>
                                <pic:blipFill>
                                  <a:blip r:embed="rId2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14300" cy="120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4"/>
                        <w:szCs w:val="14"/>
                        <w:color w:val="666666"/>
                        <w:spacing w:val="25"/>
                        <w:w w:val="101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color w:val="666666"/>
                        <w:spacing w:val="-2"/>
                      </w:rPr>
                      <w:t>中国政府网</w:t>
                    </w:r>
                  </w:hyperlink>
                </w:p>
              </w:txbxContent>
            </v:textbox>
          </v:shape>
        </w:pict>
      </w:r>
      <w:r>
        <w:pict>
          <v:shape id="_x0000_s12" style="position:absolute;margin-left:514.1pt;margin-top:11.8416pt;mso-position-vertical-relative:text;mso-position-horizontal-relative:text;width:28.6pt;height:10.7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14:textFill>
                        <w14:solidFill>
                          <w14:srgbClr w14:val="000000">
                            <w14:alpha w14:val="49803"/>
                          </w14:srgbClr>
                        </w14:solidFill>
                      </w14:textFill>
                      <w:spacing w:val="2"/>
                    </w:rPr>
                    <w:t>其他链接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6470650</wp:posOffset>
            </wp:positionH>
            <wp:positionV relativeFrom="paragraph">
              <wp:posOffset>114300</wp:posOffset>
            </wp:positionV>
            <wp:extent cx="369823" cy="18415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9823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14" style="mso-position-vertical-relative:line;mso-position-horizontal-relative:char;width:77pt;height:14.5pt;" filled="false" stroked="false" coordsize="1540,290" coordorigin="0,0">
            <v:shape id="_x0000_s16" style="position:absolute;left:-20;top:-20;width:1580;height:33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1530" w:type="dxa"/>
                      <w:tblInd w:w="25" w:type="dxa"/>
                      <w:tblLayout w:type="fixed"/>
                      <w:tblBorders>
                        <w:left w:val="single" w:color="5C8DC0" w:sz="4" w:space="0"/>
                        <w:bottom w:val="single" w:color="5C8DC0" w:sz="4" w:space="0"/>
                        <w:right w:val="single" w:color="5C8DC0" w:sz="4" w:space="0"/>
                        <w:top w:val="single" w:color="5C8DC0" w:sz="4" w:space="0"/>
                      </w:tblBorders>
                    </w:tblPr>
                    <w:tblGrid>
                      <w:gridCol w:w="1530"/>
                    </w:tblGrid>
                    <w:tr>
                      <w:trPr>
                        <w:trHeight w:val="270" w:hRule="atLeast"/>
                      </w:trPr>
                      <w:tc>
                        <w:tcPr>
                          <w:shd w:val="clear" w:fill="FFFFFF"/>
                          <w:tcW w:w="1530" w:type="dxa"/>
                          <w:vAlign w:val="top"/>
                        </w:tcPr>
                        <w:p>
                          <w:pPr>
                            <w:ind w:left="102"/>
                            <w:spacing w:before="66" w:line="187" w:lineRule="auto"/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YaHei" w:hAnsi="Microsoft YaHei" w:eastAsia="Microsoft YaHei" w:cs="Microsoft YaHei"/>
                              <w:sz w:val="13"/>
                              <w:szCs w:val="13"/>
                              <w14:textFill>
                                <w14:solidFill>
                                  <w14:srgbClr w14:val="000000">
                                    <w14:alpha w14:val="49803"/>
                                  </w14:srgbClr>
                                </w14:solidFill>
                              </w14:textFill>
                              <w:spacing w:val="2"/>
                            </w:rPr>
                            <w:t>行业相关网站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spacing w:before="10"/>
        <w:rPr/>
      </w:pPr>
      <w:r/>
    </w:p>
    <w:p>
      <w:pPr>
        <w:spacing w:before="9"/>
        <w:rPr/>
      </w:pPr>
      <w:r/>
    </w:p>
    <w:p>
      <w:pPr>
        <w:sectPr>
          <w:headerReference w:type="default" r:id="rId19"/>
          <w:pgSz w:w="11900" w:h="16839"/>
          <w:pgMar w:top="400" w:right="495" w:bottom="0" w:left="570" w:header="0" w:footer="0" w:gutter="0"/>
          <w:cols w:equalWidth="0" w:num="1">
            <w:col w:w="10834" w:space="0"/>
          </w:cols>
        </w:sectPr>
        <w:rPr/>
      </w:pPr>
    </w:p>
    <w:p>
      <w:pPr>
        <w:pStyle w:val="BodyText"/>
        <w:ind w:left="163"/>
        <w:spacing w:before="38" w:line="183" w:lineRule="auto"/>
        <w:rPr>
          <w:sz w:val="14"/>
          <w:szCs w:val="14"/>
        </w:rPr>
      </w:pPr>
      <w:r>
        <w:rPr>
          <w:sz w:val="14"/>
          <w:szCs w:val="14"/>
          <w:color w:val="666666"/>
        </w:rPr>
        <w:t>主办单位：中国证券监督管理委员会   版权所有：中国证券监督</w:t>
      </w:r>
      <w:r>
        <w:rPr>
          <w:sz w:val="14"/>
          <w:szCs w:val="14"/>
          <w:color w:val="666666"/>
          <w:spacing w:val="-1"/>
        </w:rPr>
        <w:t>管理委员会</w:t>
      </w:r>
    </w:p>
    <w:p>
      <w:pPr>
        <w:pStyle w:val="BodyText"/>
        <w:ind w:left="171"/>
        <w:spacing w:before="75" w:line="220" w:lineRule="auto"/>
        <w:rPr>
          <w:sz w:val="14"/>
          <w:szCs w:val="14"/>
        </w:rPr>
      </w:pPr>
      <w:r>
        <w:rPr>
          <w:sz w:val="14"/>
          <w:szCs w:val="14"/>
          <w:color w:val="666666"/>
        </w:rPr>
        <w:t>网站识别码：bm56000001  </w:t>
      </w:r>
      <w:hyperlink w:history="true" r:id="rId25">
        <w:r>
          <w:rPr>
            <w:sz w:val="14"/>
            <w:szCs w:val="14"/>
            <w:color w:val="666666"/>
          </w:rPr>
          <w:t>京ICP备 05035542号    </w:t>
        </w:r>
        <w:r>
          <w:rPr>
            <w:sz w:val="14"/>
            <w:szCs w:val="14"/>
            <w:position w:val="-6"/>
          </w:rPr>
          <w:drawing>
            <wp:inline distT="0" distB="0" distL="0" distR="0">
              <wp:extent cx="114300" cy="127000"/>
              <wp:effectExtent l="0" t="0" r="0" b="0"/>
              <wp:docPr id="18" name="IM 18"/>
              <wp:cNvGraphicFramePr/>
              <a:graphic>
                <a:graphicData uri="http://schemas.openxmlformats.org/drawingml/2006/picture">
                  <pic:pic>
                    <pic:nvPicPr>
                      <pic:cNvPr id="18" name="IM 18"/>
                      <pic:cNvPicPr/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1143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4"/>
            <w:szCs w:val="14"/>
            <w:color w:val="666666"/>
          </w:rPr>
          <w:t>京公网安备</w:t>
        </w:r>
        <w:r>
          <w:rPr>
            <w:sz w:val="14"/>
            <w:szCs w:val="14"/>
            <w:color w:val="666666"/>
            <w:spacing w:val="15"/>
          </w:rPr>
          <w:t xml:space="preserve"> </w:t>
        </w:r>
        <w:r>
          <w:rPr>
            <w:sz w:val="14"/>
            <w:szCs w:val="14"/>
            <w:color w:val="666666"/>
          </w:rPr>
          <w:t>11040102700</w:t>
        </w:r>
        <w:r>
          <w:rPr>
            <w:sz w:val="14"/>
            <w:szCs w:val="14"/>
            <w:color w:val="666666"/>
            <w:spacing w:val="-1"/>
          </w:rPr>
          <w:t>080号</w:t>
        </w:r>
      </w:hyperlink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95" w:line="219" w:lineRule="auto"/>
        <w:rPr>
          <w:sz w:val="14"/>
          <w:szCs w:val="14"/>
        </w:rPr>
      </w:pPr>
      <w:hyperlink w:history="true" r:id="rId27">
        <w:r>
          <w:rPr>
            <w:sz w:val="14"/>
            <w:szCs w:val="14"/>
            <w:color w:val="333333"/>
            <w:spacing w:val="-2"/>
          </w:rPr>
          <w:t>联系我们</w:t>
        </w:r>
      </w:hyperlink>
      <w:r>
        <w:rPr>
          <w:sz w:val="14"/>
          <w:szCs w:val="14"/>
          <w:color w:val="333333"/>
          <w:spacing w:val="17"/>
        </w:rPr>
        <w:t xml:space="preserve"> </w:t>
      </w:r>
      <w:r>
        <w:rPr>
          <w:sz w:val="14"/>
          <w:szCs w:val="14"/>
          <w:color w:val="333333"/>
          <w:spacing w:val="-2"/>
        </w:rPr>
        <w:t>| </w:t>
      </w:r>
      <w:hyperlink w:history="true" r:id="rId28">
        <w:r>
          <w:rPr>
            <w:sz w:val="14"/>
            <w:szCs w:val="14"/>
            <w:color w:val="333333"/>
            <w:spacing w:val="-2"/>
          </w:rPr>
          <w:t>法律声明</w:t>
        </w:r>
      </w:hyperlink>
    </w:p>
    <w:sectPr>
      <w:type w:val="continuous"/>
      <w:pgSz w:w="11900" w:h="16839"/>
      <w:pgMar w:top="400" w:right="495" w:bottom="0" w:left="570" w:header="0" w:footer="0" w:gutter="0"/>
      <w:cols w:equalWidth="0" w:num="2">
        <w:col w:w="9482" w:space="100"/>
        <w:col w:w="12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s="http://schemas.microsoft.com/office/word/2010/wordprocessingShape" xmlns:w14="http://schemas.microsoft.com/office/word/2010/wordml" xmlns:mc="http://schemas.openxmlformats.org/markup-compatibility/2006" mc:Ignorable="w14">
  <w:p/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16"/>
      <w:szCs w:val="16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src.gov.cn/anhui/c103957/tz.shtml" TargetMode="External" Id="rId9" /><Relationship Type="http://schemas.openxmlformats.org/officeDocument/2006/relationships/hyperlink" Target="https://www.csrc.gov.cn/anhui/c100694/tz.shtml" TargetMode="External" Id="rId8" /><Relationship Type="http://schemas.openxmlformats.org/officeDocument/2006/relationships/hyperlink" Target="https://www.csrc.gov.cn/anhui/c100690/tz.shtml" TargetMode="External" Id="rId7" /><Relationship Type="http://schemas.openxmlformats.org/officeDocument/2006/relationships/image" Target="media/image3.png" Id="rId6" /><Relationship Type="http://schemas.openxmlformats.org/officeDocument/2006/relationships/image" Target="https://www.csrc.gov.cn/" TargetMode="External" Id="rId5" /><Relationship Type="http://schemas.openxmlformats.org/officeDocument/2006/relationships/image" Target="media/image2.png" Id="rId4" /><Relationship Type="http://schemas.openxmlformats.org/officeDocument/2006/relationships/fontTable" Target="fontTable.xml" Id="rId31" /><Relationship Type="http://schemas.openxmlformats.org/officeDocument/2006/relationships/styles" Target="styles.xml" Id="rId30" /><Relationship Type="http://schemas.openxmlformats.org/officeDocument/2006/relationships/hyperlink" Target="https://www.csrc.gov.cn/anhui/index.shtml" TargetMode="External" Id="rId3" /><Relationship Type="http://schemas.openxmlformats.org/officeDocument/2006/relationships/settings" Target="settings.xml" Id="rId29" /><Relationship Type="http://schemas.openxmlformats.org/officeDocument/2006/relationships/hyperlink" Target="https://www.csrc.gov.cn/csrc/c100227/c1362477/content.shtml" TargetMode="External" Id="rId28" /><Relationship Type="http://schemas.openxmlformats.org/officeDocument/2006/relationships/hyperlink" Target="https://www.csrc.gov.cn/anhui/c100693/c1286964/content.shtml" TargetMode="External" Id="rId27" /><Relationship Type="http://schemas.openxmlformats.org/officeDocument/2006/relationships/image" Target="media/image10.png" Id="rId26" /><Relationship Type="http://schemas.openxmlformats.org/officeDocument/2006/relationships/hyperlink" Target="https://beian.miit.gov.cn/" TargetMode="External" Id="rId25" /><Relationship Type="http://schemas.openxmlformats.org/officeDocument/2006/relationships/image" Target="media/image9.png" Id="rId24" /><Relationship Type="http://schemas.openxmlformats.org/officeDocument/2006/relationships/image" Target="media/image8.png" Id="rId23" /><Relationship Type="http://schemas.openxmlformats.org/officeDocument/2006/relationships/hyperlink" Target="http://www.gov.cn/" TargetMode="External" Id="rId22" /><Relationship Type="http://schemas.openxmlformats.org/officeDocument/2006/relationships/image" Target="media/image7.png" Id="rId21" /><Relationship Type="http://schemas.openxmlformats.org/officeDocument/2006/relationships/image" Target="media/image6.jpeg" Id="rId20" /><Relationship Type="http://schemas.openxmlformats.org/officeDocument/2006/relationships/image" Target="media/image1.png" Id="rId2" /><Relationship Type="http://schemas.openxmlformats.org/officeDocument/2006/relationships/header" Target="header1.xml" Id="rId19" /><Relationship Type="http://schemas.openxmlformats.org/officeDocument/2006/relationships/hyperlink" Target="https://www.investor.org.cn" TargetMode="External" Id="rId18" /><Relationship Type="http://schemas.openxmlformats.org/officeDocument/2006/relationships/image" Target="media/image5.png" Id="rId17" /><Relationship Type="http://schemas.openxmlformats.org/officeDocument/2006/relationships/hyperlink" Target="https://www.csrc.gov.cn/anhui/c105416/common_list.shtml?channelid=8188a507c7144b4b94584f9f49812bd0" TargetMode="External" Id="rId16" /><Relationship Type="http://schemas.openxmlformats.org/officeDocument/2006/relationships/hyperlink" Target="https://www.csrc.gov.cn/anhui/c100720/common_list_zt.shtml?channelid=f756af595d8c4b0c96918097b0eb1ac2" TargetMode="External" Id="rId15" /><Relationship Type="http://schemas.openxmlformats.org/officeDocument/2006/relationships/hyperlink" Target="https://www.csrc.gov.cn/anhui/c100719/tz.shtml" TargetMode="External" Id="rId14" /><Relationship Type="http://schemas.openxmlformats.org/officeDocument/2006/relationships/image" Target="media/image4.png" Id="rId13" /><Relationship Type="http://schemas.openxmlformats.org/officeDocument/2006/relationships/hyperlink" Target="http://gzly.csrc12386.org.cn/csrc/sh.inb.publicmessage!messageList.sh" TargetMode="External" Id="rId12" /><Relationship Type="http://schemas.openxmlformats.org/officeDocument/2006/relationships/hyperlink" Target="https://www.csrc.gov.cn/anhui/c103983/zfxxgk_zdgk.shtml?channelid=a96453153e394b8b831722bdebcf9e88" TargetMode="External" Id="rId11" /><Relationship Type="http://schemas.openxmlformats.org/officeDocument/2006/relationships/hyperlink" Target="https://www.csrc.gov.cn/anhui/c103983/zfxxgk_zdgk.shtml?channelid=8deed1f99d244a68885b3eb997eafb9e" TargetMode="External" Id="rId10" /><Relationship Type="http://schemas.openxmlformats.org/officeDocument/2006/relationships/hyperlink" Target="javascript:StranBody()" TargetMode="External" Id="rId1" /><Relationship Type="http://schemas.openxmlformats.org/officeDocument/2006/relationships/header" Target="/word/header3.xml" Id="rId32" 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(Windows NT 10.0; Win64; x64) AppleWebKit/537.36 (KHTML, like Gecko) Chrome/148.0.0.0 Safari/537.36 Edg/148.0.0.0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12386服务平台投诉指南_安徽监管局</dc:title>
  <dcterms:created xsi:type="dcterms:W3CDTF">2026-05-16T01:01:13Z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O">
    <vt:lpwstr>wqlLaW5nc29mdCBQREYgdG8gV1BTIDEyMA</vt:lpwstr>
  </op:property>
  <op:property fmtid="{D5CDD505-2E9C-101B-9397-08002B2CF9AE}" pid="3" name="Created">
    <vt:filetime>2026-05-16T10:34:10</vt:filetime>
  </op:property>
  <op:property fmtid="{D5CDD505-2E9C-101B-9397-08002B2CF9AE}" pid="4" name="_IPGFID">
    <vt:lpwstr>[DocID]=86CAB32F-3A7C-4AD4-BF70-63C143E48889</vt:lpwstr>
  </op:property>
  <op:property fmtid="{D5CDD505-2E9C-101B-9397-08002B2CF9AE}" pid="5" name="_IPGFLOW_P-8843_E-0_CV-88520CEC_CN-7C7853E">
    <vt:lpwstr>DPFPMK|3|50|1|0</vt:lpwstr>
  </op:property>
  <op:property fmtid="{D5CDD505-2E9C-101B-9397-08002B2CF9AE}" pid="6" name="_IPGFLOW_P-8843_E-1_FP-1_SP-1_CV-5F09BB1C_CN-B69431DE">
    <vt:lpwstr>HjQvfAau3nnFQQTHnrqseiiZLDogF9s37NhU4lQBhDddKIwJzyPG4e3lyz/TgqUxsaoSK96/6TOHKCTjhGhFHmi/Uj7y2rF9WZMx3WorbRnWIc6n3OgC5DdQrDZyVuz8Z/Gp4qukPUS2whtX6YE6x26lCUZqoy1Pib6kbTN6cuLi771acrcEniiLec82d2JGvbTkMzAp+ZOR4D8RtL3F3puNZQ+aGk/0nfRnRxrICPfs0warN9Xx5I/NgjuXt9j</vt:lpwstr>
  </op:property>
  <op:property fmtid="{D5CDD505-2E9C-101B-9397-08002B2CF9AE}" pid="7" name="_IPGFLOW_P-8843_E-1_FP-1_SP-2_CV-90BE6D7F_CN-6F61143A">
    <vt:lpwstr>sT3v8XrYQcZiyWNs85CNkjYxw/zxzSE+oqdD04UvFuoJMupVQjbL+L4kUJ8smCXFIS0SKtZfGdajRXIc75b9JdDJFHaDZtkYCFwXp5lYj0xw4yG7E9m+WS955xTayHQRo1LO723XZjdstwyGpqd+bfA==</vt:lpwstr>
  </op:property>
  <op:property fmtid="{D5CDD505-2E9C-101B-9397-08002B2CF9AE}" pid="8" name="_IPGFLOW_P-8843_E-0_FP-1_CV-FB4CA461_CN-95C672B7">
    <vt:lpwstr>DPSPMK|3|408|2|0</vt:lpwstr>
  </op:property>
</op:Properties>
</file>